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120" w:before="240"/>
        <w:contextualSpacing w:val="false"/>
      </w:pPr>
      <w:r>
        <w:rPr>
          <w:u w:val="single"/>
        </w:rPr>
        <w:t>Investment Philosophy</w:t>
      </w:r>
    </w:p>
    <w:p>
      <w:pPr>
        <w:pStyle w:val="style0"/>
      </w:pPr>
      <w:r>
        <w:rPr/>
      </w:r>
    </w:p>
    <w:p>
      <w:pPr>
        <w:pStyle w:val="style18"/>
      </w:pPr>
      <w:r>
        <w:rPr/>
        <w:t xml:space="preserve">The investment philosophy of the </w:t>
      </w:r>
      <w:r>
        <w:rPr/>
        <w:t>First Lutheran Church Foundation</w:t>
      </w:r>
      <w:r>
        <w:rPr/>
        <w:t xml:space="preserve"> revolves around four principles:</w:t>
      </w:r>
    </w:p>
    <w:p>
      <w:pPr>
        <w:pStyle w:val="style18"/>
      </w:pPr>
      <w:r>
        <w:rPr/>
        <w:t xml:space="preserve">• </w:t>
      </w:r>
      <w:r>
        <w:rPr/>
        <w:t>Protection of principal</w:t>
        <w:br/>
        <w:t>• Growth of portfolio principal to at least match inflation</w:t>
        <w:br/>
        <w:t>• Maximize income generation for the purpose of charitable distribution</w:t>
        <w:br/>
        <w:t xml:space="preserve">• Provide portfolio diversification </w:t>
      </w:r>
    </w:p>
    <w:p>
      <w:pPr>
        <w:pStyle w:val="style0"/>
      </w:pPr>
      <w:r>
        <w:rPr/>
      </w:r>
    </w:p>
    <w:p>
      <w:pPr>
        <w:pStyle w:val="style0"/>
      </w:pPr>
      <w:r>
        <w:rPr/>
        <w:t>The Foundation's e</w:t>
      </w:r>
      <w:r>
        <w:rPr/>
        <w:t xml:space="preserve">ndowed assets are managed in perpetuity. Our </w:t>
      </w:r>
      <w:r>
        <w:rPr/>
        <w:t>philosophy</w:t>
      </w:r>
      <w:r>
        <w:rPr/>
        <w:t xml:space="preserve"> is to invest in a manner that maximizes returns with a prudent level of risk. Since equities have the highest, long-term expected rate of return, the Foundation takes a strong equity-like bias in asset allocation. </w:t>
      </w:r>
      <w:r>
        <w:rPr/>
        <w:t>Accordingly, our asset allocation will be in a range of 6</w:t>
      </w:r>
      <w:r>
        <w:rPr/>
        <w:t>5</w:t>
      </w:r>
      <w:r>
        <w:rPr/>
        <w:t>%-7</w:t>
      </w:r>
      <w:r>
        <w:rPr/>
        <w:t>5</w:t>
      </w:r>
      <w:r>
        <w:rPr/>
        <w:t xml:space="preserve">% equities and </w:t>
      </w:r>
      <w:r>
        <w:rPr/>
        <w:t>25</w:t>
      </w:r>
      <w:r>
        <w:rPr/>
        <w:t>%-</w:t>
      </w:r>
      <w:r>
        <w:rPr/>
        <w:t>35</w:t>
      </w:r>
      <w:r>
        <w:rPr/>
        <w:t>% fixed income.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</w:pPr>
      <w:r>
        <w:rPr>
          <w:u w:val="single"/>
        </w:rPr>
        <w:t>Investment P</w:t>
      </w:r>
      <w:r>
        <w:rPr>
          <w:u w:val="single"/>
        </w:rPr>
        <w:t>olicies</w:t>
      </w:r>
    </w:p>
    <w:p>
      <w:pPr>
        <w:pStyle w:val="style18"/>
      </w:pPr>
      <w:r>
        <w:rPr>
          <w:u w:val="single"/>
        </w:rPr>
      </w:r>
    </w:p>
    <w:p>
      <w:pPr>
        <w:pStyle w:val="style18"/>
      </w:pPr>
      <w:r>
        <w:rPr/>
        <w:t>The equity portion of the portfolio shall be based on the following: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>High quality, established companies</w:t>
      </w:r>
      <w:r>
        <w:rPr/>
        <w:t xml:space="preserve"> with</w:t>
      </w:r>
      <w:r>
        <w:rPr/>
        <w:t xml:space="preserve"> superior financial strength, above-average and consistent earnings growth, regular and </w:t>
      </w:r>
      <w:r>
        <w:rPr/>
        <w:t xml:space="preserve">long history of </w:t>
      </w:r>
      <w:r>
        <w:rPr/>
        <w:t>growing dividend payments and a strong competitive position</w:t>
      </w:r>
      <w:r>
        <w:rPr/>
        <w:t xml:space="preserve"> </w:t>
      </w:r>
      <w:r>
        <w:rPr/>
        <w:t xml:space="preserve">to </w:t>
      </w:r>
      <w:r>
        <w:rPr/>
        <w:t xml:space="preserve">provide superior returns with less risk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ind w:hanging="283" w:left="707" w:right="0"/>
      </w:pPr>
      <w:r>
        <w:rPr/>
        <w:t xml:space="preserve">Appropriate diversification </w:t>
      </w:r>
      <w:r>
        <w:rPr/>
        <w:t xml:space="preserve">to </w:t>
      </w:r>
      <w:r>
        <w:rPr/>
        <w:t xml:space="preserve">lower risk </w:t>
      </w:r>
    </w:p>
    <w:p>
      <w:pPr>
        <w:pStyle w:val="style18"/>
      </w:pPr>
      <w:r>
        <w:rPr/>
      </w:r>
    </w:p>
    <w:p>
      <w:pPr>
        <w:pStyle w:val="style18"/>
      </w:pPr>
      <w:r>
        <w:rPr/>
        <w:t xml:space="preserve">The fixed income portion of the portfolio shall be based on the following:       </w:t>
      </w:r>
    </w:p>
    <w:p>
      <w:pPr>
        <w:pStyle w:val="style18"/>
        <w:numPr>
          <w:ilvl w:val="0"/>
          <w:numId w:val="3"/>
        </w:numPr>
      </w:pPr>
      <w:r>
        <w:rPr/>
        <w:t>Credit rating tiers by Moody's/Standard &amp; Poor's of Baa3/BBB- or higher for listed securities</w:t>
      </w:r>
    </w:p>
    <w:p>
      <w:pPr>
        <w:pStyle w:val="style18"/>
        <w:numPr>
          <w:ilvl w:val="0"/>
          <w:numId w:val="3"/>
        </w:numPr>
      </w:pPr>
      <w:r>
        <w:rPr/>
        <w:t>Adequate and secure collateral for unlisted securities</w:t>
      </w:r>
    </w:p>
    <w:p>
      <w:pPr>
        <w:pStyle w:val="style18"/>
        <w:numPr>
          <w:ilvl w:val="0"/>
          <w:numId w:val="3"/>
        </w:numPr>
      </w:pPr>
      <w:r>
        <w:rPr/>
        <w:t>Appropriate diversification to lower risk</w:t>
      </w:r>
    </w:p>
    <w:p>
      <w:pPr>
        <w:pStyle w:val="style18"/>
      </w:pPr>
      <w:r>
        <w:rPr/>
      </w:r>
    </w:p>
    <w:p>
      <w:pPr>
        <w:pStyle w:val="style18"/>
      </w:pPr>
      <w:r>
        <w:rPr/>
        <w:t>In our view, t</w:t>
      </w:r>
      <w:r>
        <w:rPr/>
        <w:t xml:space="preserve">he above </w:t>
      </w:r>
      <w:r>
        <w:rPr/>
        <w:t xml:space="preserve">investment </w:t>
      </w:r>
      <w:r>
        <w:rPr/>
        <w:t xml:space="preserve">policies can best be implemented, </w:t>
      </w:r>
      <w:r>
        <w:rPr/>
        <w:t xml:space="preserve">and maintained over the long term, </w:t>
      </w:r>
      <w:r>
        <w:rPr/>
        <w:t xml:space="preserve">by </w:t>
      </w:r>
      <w:r>
        <w:rPr/>
        <w:t>primarily</w:t>
      </w:r>
      <w:r>
        <w:rPr/>
        <w:t xml:space="preserve"> using very low cost exchange traded index </w:t>
      </w:r>
      <w:r>
        <w:rPr/>
        <w:t>mutual</w:t>
      </w:r>
      <w:r>
        <w:rPr/>
        <w:t xml:space="preserve"> funds supplemented with carefully selected individual investments.</w:t>
      </w:r>
    </w:p>
    <w:p>
      <w:pPr>
        <w:pStyle w:val="style18"/>
      </w:pPr>
      <w:r>
        <w:rPr/>
      </w:r>
    </w:p>
    <w:p>
      <w:pPr>
        <w:pStyle w:val="style18"/>
        <w:spacing w:after="120" w:before="0"/>
        <w:contextualSpacing w:val="false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17"/>
    <w:next w:val="style18"/>
    <w:pPr/>
    <w:rPr>
      <w:rFonts w:ascii="Times New Roman" w:cs="Mangal" w:eastAsia="SimSun" w:hAnsi="Times New Roman"/>
      <w:b/>
      <w:bCs/>
      <w:sz w:val="48"/>
      <w:szCs w:val="48"/>
    </w:rPr>
  </w:style>
  <w:style w:styleId="style3" w:type="paragraph">
    <w:name w:val="Heading 3"/>
    <w:basedOn w:val="style17"/>
    <w:next w:val="style18"/>
    <w:pPr/>
    <w:rPr>
      <w:rFonts w:ascii="Times New Roman" w:cs="Mangal" w:eastAsia="SimSun" w:hAnsi="Times New Roman"/>
      <w:b/>
      <w:b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4161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2013-07-09T13:15:38.21Z</dcterms:created>
  <dcterms:modified xsi:type="dcterms:W3CDTF">2013-07-09T14:40:39.61Z</dcterms:modified>
  <cp:revision>8</cp:revision>
</cp:coreProperties>
</file>